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附件四：</w:t>
      </w:r>
    </w:p>
    <w:p>
      <w:pPr>
        <w:pStyle w:val="2"/>
      </w:pPr>
      <w:r>
        <w:rPr>
          <w:rFonts w:hint="eastAsia"/>
        </w:rPr>
        <w:t>“未来的世界：梦想与现实”主题征文</w:t>
      </w:r>
    </w:p>
    <w:p>
      <w:pPr>
        <w:rPr>
          <w:b/>
        </w:rPr>
      </w:pPr>
      <w:r>
        <w:rPr>
          <w:rFonts w:hint="eastAsia"/>
          <w:b/>
        </w:rPr>
        <w:t>一．活动介绍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02</w:t>
      </w:r>
      <w:r>
        <w:rPr>
          <w:rFonts w:hint="eastAsia"/>
          <w:sz w:val="24"/>
        </w:rPr>
        <w:t>4年2月16日凌晨，OpenAI公司发布最新“文生视频”大模型Sora，再一次引发了人们对AI人工智能以及AIGC的关注。这些科技创新成果折射出的“科技之光”吸引着无数人的目光，冲击着我们的固有认知。AI正逐渐从科幻梦想转变为现实，对世界的影响已经变得不可忽视。2024年是中华人民共和国成立的第75周年。在这75年的风雨历程中，我国经历了许多困难和挑战，但始终坚持着独立自主、自强不息的发展道路，深入实施科教兴国战略，取得了举世瞩目的成就。载人航天、探月探火、深海深地探测、超级计算机、卫星导航、量子信息、核电技术、大飞机制造、生物医药等取得重大成果，进入创新型国家行列，中国科技创新的崛起是全球科技领域的一大趋势，中国正以硬实力引领着全球科技的未来</w:t>
      </w:r>
      <w:r>
        <w:rPr>
          <w:rFonts w:cs="宋体"/>
          <w:sz w:val="24"/>
        </w:rPr>
        <w:t>，</w:t>
      </w:r>
      <w:r>
        <w:rPr>
          <w:rFonts w:hint="eastAsia"/>
          <w:sz w:val="24"/>
        </w:rPr>
        <w:t>将继续在世界舞台上发挥重要作用。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值此世界读书日即将到来之际，北京畅想之星</w:t>
      </w:r>
      <w:r>
        <w:rPr>
          <w:sz w:val="24"/>
        </w:rPr>
        <w:t>联合多家出版社，面向</w:t>
      </w:r>
      <w:r>
        <w:rPr>
          <w:rFonts w:hint="eastAsia"/>
          <w:sz w:val="24"/>
        </w:rPr>
        <w:t>全国各位</w:t>
      </w:r>
      <w:r>
        <w:rPr>
          <w:sz w:val="24"/>
        </w:rPr>
        <w:t>读者，</w:t>
      </w:r>
      <w:r>
        <w:rPr>
          <w:rFonts w:hint="eastAsia"/>
          <w:sz w:val="24"/>
        </w:rPr>
        <w:t>推出“未来的世界：梦想与现实”</w:t>
      </w:r>
      <w:r>
        <w:rPr>
          <w:sz w:val="24"/>
        </w:rPr>
        <w:t>主题</w:t>
      </w:r>
      <w:r>
        <w:rPr>
          <w:rFonts w:hint="eastAsia"/>
          <w:sz w:val="24"/>
        </w:rPr>
        <w:t>征文</w:t>
      </w:r>
      <w:r>
        <w:rPr>
          <w:sz w:val="24"/>
        </w:rPr>
        <w:t>活动</w:t>
      </w:r>
      <w:r>
        <w:rPr>
          <w:rFonts w:hint="eastAsia"/>
          <w:sz w:val="24"/>
        </w:rPr>
        <w:t>。</w:t>
      </w:r>
    </w:p>
    <w:p>
      <w:pPr>
        <w:rPr>
          <w:b/>
        </w:rPr>
      </w:pPr>
      <w:r>
        <w:rPr>
          <w:rFonts w:hint="eastAsia"/>
          <w:b/>
        </w:rPr>
        <w:t>二、活动时间</w:t>
      </w:r>
    </w:p>
    <w:p>
      <w:pPr>
        <w:rPr>
          <w:sz w:val="24"/>
        </w:rPr>
      </w:pPr>
      <w:r>
        <w:rPr>
          <w:rFonts w:hint="eastAsia"/>
          <w:sz w:val="24"/>
        </w:rPr>
        <w:t>活动参与时间：2</w:t>
      </w:r>
      <w:r>
        <w:rPr>
          <w:sz w:val="24"/>
        </w:rPr>
        <w:t>02</w:t>
      </w:r>
      <w:r>
        <w:rPr>
          <w:rFonts w:hint="eastAsia"/>
          <w:sz w:val="24"/>
        </w:rPr>
        <w:t>3年4月8日</w:t>
      </w:r>
      <w:r>
        <w:rPr>
          <w:sz w:val="24"/>
        </w:rPr>
        <w:t>8</w:t>
      </w:r>
      <w:r>
        <w:rPr>
          <w:rFonts w:hint="eastAsia"/>
          <w:sz w:val="24"/>
        </w:rPr>
        <w:t>:</w:t>
      </w:r>
      <w:r>
        <w:rPr>
          <w:sz w:val="24"/>
        </w:rPr>
        <w:t>00</w:t>
      </w:r>
      <w:r>
        <w:rPr>
          <w:rFonts w:hint="eastAsia"/>
          <w:sz w:val="24"/>
        </w:rPr>
        <w:t>——5月8日24:</w:t>
      </w:r>
      <w:r>
        <w:rPr>
          <w:sz w:val="24"/>
        </w:rPr>
        <w:t>00</w:t>
      </w:r>
    </w:p>
    <w:p>
      <w:pPr>
        <w:rPr>
          <w:sz w:val="24"/>
        </w:rPr>
      </w:pPr>
      <w:r>
        <w:rPr>
          <w:rFonts w:hint="eastAsia"/>
          <w:sz w:val="24"/>
        </w:rPr>
        <w:t>获奖公布时间：2</w:t>
      </w:r>
      <w:r>
        <w:rPr>
          <w:sz w:val="24"/>
        </w:rPr>
        <w:t>02</w:t>
      </w:r>
      <w:r>
        <w:rPr>
          <w:rFonts w:hint="eastAsia"/>
          <w:sz w:val="24"/>
        </w:rPr>
        <w:t>3年5月底</w:t>
      </w:r>
    </w:p>
    <w:p>
      <w:pPr>
        <w:rPr>
          <w:b/>
        </w:rPr>
      </w:pPr>
      <w:r>
        <w:rPr>
          <w:rFonts w:hint="eastAsia"/>
          <w:b/>
        </w:rPr>
        <w:t>三、活动组织</w:t>
      </w:r>
    </w:p>
    <w:p>
      <w:pPr>
        <w:pStyle w:val="7"/>
        <w:rPr>
          <w:sz w:val="24"/>
        </w:rPr>
      </w:pPr>
      <w:r>
        <w:rPr>
          <w:rStyle w:val="11"/>
          <w:rFonts w:hint="eastAsia" w:cs="仿宋"/>
          <w:b w:val="0"/>
          <w:color w:val="222222"/>
          <w:spacing w:val="8"/>
          <w:sz w:val="24"/>
          <w:shd w:val="clear" w:color="auto" w:fill="FFFFFF"/>
        </w:rPr>
        <w:t>主办单位：</w:t>
      </w:r>
      <w:r>
        <w:rPr>
          <w:rFonts w:hint="eastAsia"/>
          <w:sz w:val="24"/>
          <w:shd w:val="clear" w:color="auto" w:fill="FFFFFF"/>
        </w:rPr>
        <w:t>北京畅想之星信息技术有限公司</w:t>
      </w:r>
    </w:p>
    <w:p>
      <w:pPr>
        <w:pStyle w:val="7"/>
        <w:rPr>
          <w:rFonts w:cs="Microsoft YaHei UI"/>
          <w:color w:val="222222"/>
          <w:spacing w:val="8"/>
          <w:sz w:val="24"/>
          <w:shd w:val="clear" w:color="auto" w:fill="FFFFFF"/>
        </w:rPr>
      </w:pPr>
      <w:r>
        <w:rPr>
          <w:rStyle w:val="11"/>
          <w:rFonts w:hint="eastAsia" w:cs="仿宋"/>
          <w:b w:val="0"/>
          <w:color w:val="222222"/>
          <w:spacing w:val="8"/>
          <w:sz w:val="24"/>
          <w:shd w:val="clear" w:color="auto" w:fill="FFFFFF"/>
        </w:rPr>
        <w:t>协办单位：</w:t>
      </w:r>
      <w:r>
        <w:rPr>
          <w:rFonts w:hint="eastAsia"/>
          <w:sz w:val="24"/>
        </w:rPr>
        <w:t>化学工业出版社、机械工业出版社</w:t>
      </w:r>
    </w:p>
    <w:p>
      <w:pPr>
        <w:pStyle w:val="7"/>
        <w:rPr>
          <w:sz w:val="24"/>
        </w:rPr>
      </w:pPr>
      <w:r>
        <w:rPr>
          <w:rFonts w:hint="eastAsia"/>
          <w:color w:val="171A1D"/>
          <w:sz w:val="24"/>
          <w:shd w:val="clear" w:color="auto" w:fill="FFFFFF"/>
        </w:rPr>
        <w:t>媒体宣传：</w:t>
      </w:r>
      <w:r>
        <w:rPr>
          <w:rFonts w:hint="eastAsia"/>
          <w:sz w:val="24"/>
        </w:rPr>
        <w:t>中国新闻出版广电报、图书馆报</w:t>
      </w:r>
    </w:p>
    <w:p>
      <w:pPr>
        <w:pStyle w:val="7"/>
        <w:rPr>
          <w:b/>
        </w:rPr>
      </w:pPr>
      <w:r>
        <w:rPr>
          <w:b/>
        </w:rPr>
        <w:t>四、</w:t>
      </w:r>
      <w:r>
        <w:rPr>
          <w:rFonts w:hint="eastAsia"/>
          <w:b/>
        </w:rPr>
        <w:t>奖项设置</w:t>
      </w:r>
    </w:p>
    <w:tbl>
      <w:tblPr>
        <w:tblStyle w:val="9"/>
        <w:tblpPr w:leftFromText="180" w:rightFromText="180" w:vertAnchor="text" w:horzAnchor="page" w:tblpX="1249" w:tblpY="845"/>
        <w:tblOverlap w:val="never"/>
        <w:tblW w:w="10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2832"/>
        <w:gridCol w:w="3670"/>
        <w:gridCol w:w="2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8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奖级</w:t>
            </w:r>
          </w:p>
        </w:tc>
        <w:tc>
          <w:tcPr>
            <w:tcW w:w="283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奖品内容</w:t>
            </w:r>
          </w:p>
        </w:tc>
        <w:tc>
          <w:tcPr>
            <w:tcW w:w="367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奖品图片</w:t>
            </w:r>
          </w:p>
        </w:tc>
        <w:tc>
          <w:tcPr>
            <w:tcW w:w="2831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18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一等奖</w:t>
            </w:r>
          </w:p>
        </w:tc>
        <w:tc>
          <w:tcPr>
            <w:tcW w:w="283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华为WATCH GT4</w:t>
            </w:r>
          </w:p>
        </w:tc>
        <w:tc>
          <w:tcPr>
            <w:tcW w:w="3670" w:type="dxa"/>
            <w:vAlign w:val="center"/>
          </w:tcPr>
          <w:p>
            <w:pPr>
              <w:rPr>
                <w:rFonts w:cs="Times New Roman"/>
                <w:sz w:val="24"/>
              </w:rPr>
            </w:pPr>
            <w:r>
              <w:rPr>
                <w:sz w:val="24"/>
              </w:rPr>
              <w:drawing>
                <wp:inline distT="0" distB="0" distL="114300" distR="114300">
                  <wp:extent cx="883285" cy="1066165"/>
                  <wp:effectExtent l="0" t="0" r="12065" b="63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106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1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18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二等奖</w:t>
            </w:r>
          </w:p>
        </w:tc>
        <w:tc>
          <w:tcPr>
            <w:tcW w:w="283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拍立得相机mini12</w:t>
            </w:r>
          </w:p>
        </w:tc>
        <w:tc>
          <w:tcPr>
            <w:tcW w:w="3670" w:type="dxa"/>
            <w:vAlign w:val="center"/>
          </w:tcPr>
          <w:p>
            <w:pPr>
              <w:rPr>
                <w:rFonts w:cs="Times New Roman"/>
                <w:sz w:val="24"/>
              </w:rPr>
            </w:pPr>
            <w:r>
              <w:rPr>
                <w:sz w:val="24"/>
              </w:rPr>
              <w:drawing>
                <wp:inline distT="0" distB="0" distL="114300" distR="114300">
                  <wp:extent cx="892810" cy="951230"/>
                  <wp:effectExtent l="0" t="0" r="2540" b="12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810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1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8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三等奖</w:t>
            </w:r>
          </w:p>
        </w:tc>
        <w:tc>
          <w:tcPr>
            <w:tcW w:w="283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华为运动手环8</w:t>
            </w:r>
          </w:p>
        </w:tc>
        <w:tc>
          <w:tcPr>
            <w:tcW w:w="367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drawing>
                <wp:inline distT="0" distB="0" distL="114300" distR="114300">
                  <wp:extent cx="1202690" cy="1043940"/>
                  <wp:effectExtent l="0" t="0" r="16510" b="3810"/>
                  <wp:docPr id="5" name="图片 5" descr="9be6fa2f9f69e1380d043ded1f6482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9be6fa2f9f69e1380d043ded1f6482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690" cy="104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1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8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四等奖</w:t>
            </w:r>
          </w:p>
        </w:tc>
        <w:tc>
          <w:tcPr>
            <w:tcW w:w="283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华为耳机FreeBuds SE 2</w:t>
            </w:r>
          </w:p>
        </w:tc>
        <w:tc>
          <w:tcPr>
            <w:tcW w:w="367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drawing>
                <wp:inline distT="0" distB="0" distL="114300" distR="114300">
                  <wp:extent cx="1169035" cy="1166495"/>
                  <wp:effectExtent l="0" t="0" r="12065" b="14605"/>
                  <wp:docPr id="6" name="图片 6" descr="002c1a146ba12d546d3d25b814699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002c1a146ba12d546d3d25b814699d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035" cy="1166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1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</w:tr>
    </w:tbl>
    <w:p>
      <w:pPr>
        <w:rPr>
          <w:b/>
        </w:rPr>
      </w:pPr>
      <w:r>
        <w:rPr>
          <w:rFonts w:hint="eastAsia"/>
          <w:b/>
        </w:rPr>
        <w:t>五、活动参与流程</w:t>
      </w:r>
    </w:p>
    <w:p>
      <w:pPr>
        <w:ind w:firstLine="480" w:firstLineChars="200"/>
        <w:rPr>
          <w:b/>
          <w:sz w:val="24"/>
        </w:rPr>
      </w:pPr>
      <w:r>
        <w:rPr>
          <w:rFonts w:hint="eastAsia"/>
          <w:sz w:val="24"/>
        </w:rPr>
        <w:t>畅想之星联合多家出版社推出主题阅读书单（</w:t>
      </w:r>
      <w:r>
        <w:rPr>
          <w:sz w:val="24"/>
        </w:rPr>
        <w:t>4月</w:t>
      </w:r>
      <w:r>
        <w:rPr>
          <w:rFonts w:hint="eastAsia"/>
          <w:sz w:val="24"/>
        </w:rPr>
        <w:t>8</w:t>
      </w:r>
      <w:r>
        <w:rPr>
          <w:sz w:val="24"/>
        </w:rPr>
        <w:t>日正式公布），</w:t>
      </w:r>
      <w:r>
        <w:rPr>
          <w:rFonts w:hint="eastAsia"/>
          <w:sz w:val="24"/>
        </w:rPr>
        <w:t>部分书目配有名家荐读视频，主题阅读书目</w:t>
      </w:r>
      <w:r>
        <w:rPr>
          <w:sz w:val="24"/>
        </w:rPr>
        <w:t>限时开放给图书馆读者，读者认证登录后可阅读全文。</w:t>
      </w:r>
      <w:r>
        <w:rPr>
          <w:rFonts w:hint="eastAsia"/>
          <w:sz w:val="24"/>
        </w:rPr>
        <w:t>读者在线阅读，围绕文章内容并结合活动主题进行撰文，通过</w:t>
      </w:r>
      <w:bookmarkStart w:id="0" w:name="_Hlk99007369"/>
      <w:r>
        <w:rPr>
          <w:rFonts w:hint="eastAsia"/>
          <w:sz w:val="24"/>
        </w:rPr>
        <w:t>「撰写征文入口」</w:t>
      </w:r>
      <w:bookmarkEnd w:id="0"/>
      <w:r>
        <w:rPr>
          <w:rFonts w:hint="eastAsia"/>
          <w:sz w:val="24"/>
        </w:rPr>
        <w:t>提交报名信息及投稿文章，由专家评审团队进行评审，最终根据总分排名选出40</w:t>
      </w:r>
      <w:r>
        <w:rPr>
          <w:sz w:val="24"/>
        </w:rPr>
        <w:t>位“畅想之星优秀读者”进行表彰。</w:t>
      </w:r>
      <w:r>
        <w:rPr>
          <w:rFonts w:hint="eastAsia"/>
          <w:sz w:val="24"/>
        </w:rPr>
        <w:t>一等奖获奖作品将在《图书馆报》进行刊登、发表。</w:t>
      </w:r>
    </w:p>
    <w:p>
      <w:pPr>
        <w:rPr>
          <w:b/>
        </w:rPr>
      </w:pPr>
      <w:r>
        <w:rPr>
          <w:rFonts w:hint="eastAsia"/>
          <w:b/>
        </w:rPr>
        <w:t>六</w:t>
      </w:r>
      <w:r>
        <w:rPr>
          <w:b/>
        </w:rPr>
        <w:t>、</w:t>
      </w:r>
      <w:r>
        <w:rPr>
          <w:rFonts w:hint="eastAsia"/>
          <w:b/>
        </w:rPr>
        <w:t>报名及投稿方式</w:t>
      </w:r>
    </w:p>
    <w:p>
      <w:pPr>
        <w:rPr>
          <w:sz w:val="24"/>
        </w:rPr>
      </w:pPr>
      <w:r>
        <w:rPr>
          <w:rFonts w:hint="eastAsia"/>
          <w:sz w:val="24"/>
        </w:rPr>
        <w:t>1、报名</w:t>
      </w:r>
    </w:p>
    <w:p>
      <w:pPr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通过「撰写征文入口」填写报名信息，包括</w:t>
      </w:r>
      <w:r>
        <w:rPr>
          <w:rFonts w:hint="eastAsia"/>
          <w:sz w:val="24"/>
          <w:lang w:eastAsia="zh-CN"/>
        </w:rPr>
        <w:t>：</w:t>
      </w:r>
    </w:p>
    <w:p>
      <w:pPr>
        <w:rPr>
          <w:sz w:val="24"/>
        </w:rPr>
      </w:pPr>
      <w:r>
        <w:rPr>
          <w:rFonts w:hint="eastAsia"/>
          <w:sz w:val="24"/>
        </w:rPr>
        <w:t>（1）姓名：务必填写真实姓名，使用网名、符号、空白等视为报名失败；</w:t>
      </w:r>
    </w:p>
    <w:p>
      <w:pPr>
        <w:rPr>
          <w:sz w:val="24"/>
        </w:rPr>
      </w:pPr>
      <w:r>
        <w:rPr>
          <w:rFonts w:hint="eastAsia"/>
          <w:sz w:val="24"/>
        </w:rPr>
        <w:t>（2）联系方式：务必填写11位手机号码，填写座机视为报名失败；</w:t>
      </w:r>
    </w:p>
    <w:p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）所属图书馆：须填写图书馆全称，如“</w:t>
      </w:r>
      <w:r>
        <w:rPr>
          <w:rFonts w:hint="eastAsia"/>
          <w:sz w:val="24"/>
          <w:lang w:eastAsia="zh-CN"/>
        </w:rPr>
        <w:t>淮北</w:t>
      </w:r>
      <w:r>
        <w:rPr>
          <w:rFonts w:hint="eastAsia"/>
          <w:sz w:val="24"/>
        </w:rPr>
        <w:t>师范大学图书馆”。</w:t>
      </w:r>
    </w:p>
    <w:p>
      <w:pPr>
        <w:rPr>
          <w:sz w:val="24"/>
        </w:rPr>
      </w:pPr>
      <w:r>
        <w:rPr>
          <w:rFonts w:hint="eastAsia"/>
          <w:sz w:val="24"/>
        </w:rPr>
        <w:t>※报名信息关系到后续证书打印及奖品发放，请务必真实准确填写。</w:t>
      </w:r>
    </w:p>
    <w:p>
      <w:pPr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、投稿</w:t>
      </w:r>
    </w:p>
    <w:p>
      <w:pPr>
        <w:rPr>
          <w:sz w:val="24"/>
        </w:rPr>
      </w:pPr>
      <w:r>
        <w:rPr>
          <w:rFonts w:hint="eastAsia"/>
          <w:sz w:val="24"/>
        </w:rPr>
        <w:t>（1）文章通过「撰写征文入口」上传附件，（Word或PDF格式），仅限PC端提交。</w:t>
      </w:r>
    </w:p>
    <w:p>
      <w:pPr>
        <w:rPr>
          <w:sz w:val="24"/>
        </w:rPr>
      </w:pPr>
      <w:r>
        <w:rPr>
          <w:rFonts w:hint="eastAsia"/>
          <w:sz w:val="24"/>
        </w:rPr>
        <w:t>（2）读者需连同报名信息一并投稿。姓名、联系方式、所属图书馆均为必填项，如未填写必填项，无法单独提交附件。</w:t>
      </w:r>
    </w:p>
    <w:p>
      <w:pPr>
        <w:rPr>
          <w:sz w:val="24"/>
        </w:rPr>
      </w:pPr>
      <w:r>
        <w:rPr>
          <w:rFonts w:hint="eastAsia"/>
          <w:sz w:val="24"/>
        </w:rPr>
        <w:t>（3）如果同一名读者提交了多篇征文，系统默认以提交的最后一次征文为准，投稿前请仔细检查避免重复投稿。</w:t>
      </w:r>
    </w:p>
    <w:p>
      <w:pPr>
        <w:rPr>
          <w:b/>
        </w:rPr>
      </w:pPr>
      <w:r>
        <w:rPr>
          <w:rFonts w:hint="eastAsia"/>
          <w:b/>
        </w:rPr>
        <w:t>七、文章要求</w:t>
      </w:r>
    </w:p>
    <w:p>
      <w:pPr>
        <w:rPr>
          <w:sz w:val="24"/>
        </w:rPr>
      </w:pPr>
      <w:r>
        <w:rPr>
          <w:rFonts w:hint="eastAsia"/>
          <w:sz w:val="24"/>
        </w:rPr>
        <w:t>1、文体不限，题目自拟。字数控制在</w:t>
      </w:r>
      <w:r>
        <w:rPr>
          <w:rFonts w:hint="eastAsia"/>
          <w:color w:val="auto"/>
          <w:sz w:val="24"/>
        </w:rPr>
        <w:t>800-1200</w:t>
      </w:r>
      <w:r>
        <w:rPr>
          <w:rFonts w:hint="eastAsia"/>
          <w:sz w:val="24"/>
        </w:rPr>
        <w:t>字。</w:t>
      </w:r>
    </w:p>
    <w:p>
      <w:pPr>
        <w:rPr>
          <w:sz w:val="24"/>
        </w:rPr>
      </w:pPr>
      <w:r>
        <w:rPr>
          <w:rFonts w:hint="eastAsia"/>
          <w:sz w:val="24"/>
        </w:rPr>
        <w:t>2、参考主题书单，围绕主题,结合自身实际，表达真情实感</w:t>
      </w:r>
      <w:r>
        <w:rPr>
          <w:rFonts w:hint="eastAsia"/>
          <w:sz w:val="24"/>
          <w:lang w:eastAsia="zh-CN"/>
        </w:rPr>
        <w:t>，</w:t>
      </w:r>
      <w:bookmarkStart w:id="1" w:name="_GoBack"/>
      <w:bookmarkEnd w:id="1"/>
      <w:r>
        <w:rPr>
          <w:rFonts w:hint="eastAsia"/>
          <w:sz w:val="24"/>
        </w:rPr>
        <w:t>内容积极健康向上。</w:t>
      </w:r>
    </w:p>
    <w:p>
      <w:pPr>
        <w:rPr>
          <w:sz w:val="24"/>
        </w:rPr>
      </w:pPr>
      <w:r>
        <w:rPr>
          <w:rFonts w:hint="eastAsia"/>
          <w:sz w:val="24"/>
        </w:rPr>
        <w:t>3、文章必须原创、真实，且未在任何其他媒体上公开发表过，抄袭或洗稿一经发现，取消参评资格。</w:t>
      </w:r>
    </w:p>
    <w:p>
      <w:pPr>
        <w:rPr>
          <w:b/>
        </w:rPr>
      </w:pPr>
      <w:r>
        <w:rPr>
          <w:rFonts w:hint="eastAsia"/>
          <w:b/>
        </w:rPr>
        <w:t>八、评分标准</w:t>
      </w:r>
    </w:p>
    <w:p>
      <w:pPr>
        <w:rPr>
          <w:sz w:val="24"/>
        </w:rPr>
      </w:pPr>
      <w:r>
        <w:rPr>
          <w:rFonts w:hint="eastAsia"/>
          <w:sz w:val="24"/>
        </w:rPr>
        <w:t>1、</w:t>
      </w:r>
      <w:r>
        <w:rPr>
          <w:sz w:val="24"/>
        </w:rPr>
        <w:t>作品以满分100分为打分的基础原则，其中</w:t>
      </w:r>
      <w:r>
        <w:rPr>
          <w:rFonts w:hint="eastAsia"/>
          <w:sz w:val="24"/>
        </w:rPr>
        <w:t>包</w:t>
      </w:r>
      <w:r>
        <w:rPr>
          <w:sz w:val="24"/>
        </w:rPr>
        <w:t>含：</w:t>
      </w:r>
    </w:p>
    <w:p>
      <w:pPr>
        <w:rPr>
          <w:sz w:val="24"/>
        </w:rPr>
      </w:pPr>
      <w:r>
        <w:rPr>
          <w:rFonts w:hint="eastAsia"/>
          <w:sz w:val="24"/>
        </w:rPr>
        <w:t>（1）</w:t>
      </w:r>
      <w:r>
        <w:rPr>
          <w:sz w:val="24"/>
        </w:rPr>
        <w:t>基础等级评分（60分）：根据作品的审题立意、内容、结构、语言四方面进行五个等级评定得出分值；</w:t>
      </w:r>
    </w:p>
    <w:p>
      <w:pPr>
        <w:rPr>
          <w:sz w:val="24"/>
        </w:rPr>
      </w:pPr>
      <w:r>
        <w:rPr>
          <w:rFonts w:hint="eastAsia"/>
          <w:sz w:val="24"/>
        </w:rPr>
        <w:t>（2）</w:t>
      </w:r>
      <w:r>
        <w:rPr>
          <w:sz w:val="24"/>
        </w:rPr>
        <w:t>发展等级评分（40分）：根据作品整体是否丰富、深刻、文采、创意等四个方面进行评定分值</w:t>
      </w:r>
      <w:r>
        <w:rPr>
          <w:rFonts w:hint="eastAsia"/>
          <w:sz w:val="24"/>
        </w:rPr>
        <w:t>。</w:t>
      </w:r>
    </w:p>
    <w:p>
      <w:pPr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作品在基本切题的前提下，达到“三基本”（中心基本明确，结构基本完整，语言基本通顺）要求的，基础总分为52分。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3、投稿作品须是读者原创作品，</w:t>
      </w:r>
      <w:r>
        <w:rPr>
          <w:sz w:val="24"/>
        </w:rPr>
        <w:t>凡涉及抄袭</w:t>
      </w:r>
      <w:r>
        <w:rPr>
          <w:rFonts w:hint="eastAsia"/>
          <w:sz w:val="24"/>
        </w:rPr>
        <w:t>、借鉴他人</w:t>
      </w:r>
      <w:r>
        <w:rPr>
          <w:sz w:val="24"/>
        </w:rPr>
        <w:t>作品</w:t>
      </w:r>
      <w:r>
        <w:rPr>
          <w:rFonts w:hint="eastAsia"/>
          <w:sz w:val="24"/>
        </w:rPr>
        <w:t>的行为将取消作品评选资格。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MjQ3ZGVkOWZhNjhjOTY3MzRlMjA1NGIxMzBhMWMifQ=="/>
  </w:docVars>
  <w:rsids>
    <w:rsidRoot w:val="005839C4"/>
    <w:rsid w:val="0002050A"/>
    <w:rsid w:val="00023D77"/>
    <w:rsid w:val="000A0BF2"/>
    <w:rsid w:val="00182965"/>
    <w:rsid w:val="001D3C26"/>
    <w:rsid w:val="00200041"/>
    <w:rsid w:val="00260716"/>
    <w:rsid w:val="002C4D57"/>
    <w:rsid w:val="004517E9"/>
    <w:rsid w:val="004B1E07"/>
    <w:rsid w:val="005836BC"/>
    <w:rsid w:val="005839C4"/>
    <w:rsid w:val="005957CD"/>
    <w:rsid w:val="006F1809"/>
    <w:rsid w:val="0088741A"/>
    <w:rsid w:val="008C455F"/>
    <w:rsid w:val="009773BB"/>
    <w:rsid w:val="00AE5922"/>
    <w:rsid w:val="00B32941"/>
    <w:rsid w:val="00C82784"/>
    <w:rsid w:val="00DC64AE"/>
    <w:rsid w:val="00E1172B"/>
    <w:rsid w:val="00E70F0D"/>
    <w:rsid w:val="00F15C90"/>
    <w:rsid w:val="03995C85"/>
    <w:rsid w:val="04456153"/>
    <w:rsid w:val="08846E76"/>
    <w:rsid w:val="0E107158"/>
    <w:rsid w:val="17463BEB"/>
    <w:rsid w:val="175B3DF0"/>
    <w:rsid w:val="19A54262"/>
    <w:rsid w:val="19C57049"/>
    <w:rsid w:val="1C0A0D5C"/>
    <w:rsid w:val="204439E8"/>
    <w:rsid w:val="214E3C71"/>
    <w:rsid w:val="234B7AF5"/>
    <w:rsid w:val="280D678A"/>
    <w:rsid w:val="29D75258"/>
    <w:rsid w:val="2DA873D5"/>
    <w:rsid w:val="31CC62E2"/>
    <w:rsid w:val="327609C3"/>
    <w:rsid w:val="33586E76"/>
    <w:rsid w:val="341E6BA4"/>
    <w:rsid w:val="35AD6EB7"/>
    <w:rsid w:val="35EB501F"/>
    <w:rsid w:val="3887599B"/>
    <w:rsid w:val="40A4760E"/>
    <w:rsid w:val="42E04722"/>
    <w:rsid w:val="44023F98"/>
    <w:rsid w:val="48FC3F85"/>
    <w:rsid w:val="49D019DC"/>
    <w:rsid w:val="4AEC1E5B"/>
    <w:rsid w:val="4EE536F4"/>
    <w:rsid w:val="500A5F9C"/>
    <w:rsid w:val="501B2921"/>
    <w:rsid w:val="54097FEF"/>
    <w:rsid w:val="555C7396"/>
    <w:rsid w:val="58995BEF"/>
    <w:rsid w:val="5FDE1FFD"/>
    <w:rsid w:val="60493B7D"/>
    <w:rsid w:val="60952B73"/>
    <w:rsid w:val="61B017CA"/>
    <w:rsid w:val="640C21AE"/>
    <w:rsid w:val="67D36D64"/>
    <w:rsid w:val="6C0670AE"/>
    <w:rsid w:val="716F1FFD"/>
    <w:rsid w:val="72AD7B8F"/>
    <w:rsid w:val="75941C40"/>
    <w:rsid w:val="76B95977"/>
    <w:rsid w:val="77EF2073"/>
    <w:rsid w:val="79817709"/>
    <w:rsid w:val="7BF5431B"/>
    <w:rsid w:val="F866BC02"/>
    <w:rsid w:val="FDBF870C"/>
    <w:rsid w:val="FF6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宋体" w:cstheme="minorBidi"/>
      <w:bCs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keepNext/>
      <w:keepLines/>
      <w:spacing w:before="340" w:after="330" w:line="578" w:lineRule="auto"/>
      <w:jc w:val="center"/>
      <w:outlineLvl w:val="0"/>
    </w:pPr>
    <w:rPr>
      <w:b/>
      <w:bCs w:val="0"/>
      <w:kern w:val="44"/>
      <w:sz w:val="32"/>
      <w:szCs w:val="32"/>
    </w:rPr>
  </w:style>
  <w:style w:type="character" w:default="1" w:styleId="10">
    <w:name w:val="Default Paragraph Font"/>
    <w:autoRedefine/>
    <w:semiHidden/>
    <w:unhideWhenUsed/>
    <w:uiPriority w:val="1"/>
  </w:style>
  <w:style w:type="table" w:default="1" w:styleId="9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autoRedefine/>
    <w:unhideWhenUsed/>
    <w:qFormat/>
    <w:uiPriority w:val="99"/>
    <w:pPr>
      <w:jc w:val="left"/>
    </w:p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</w:rPr>
  </w:style>
  <w:style w:type="paragraph" w:styleId="8">
    <w:name w:val="annotation subject"/>
    <w:basedOn w:val="3"/>
    <w:next w:val="3"/>
    <w:link w:val="16"/>
    <w:autoRedefine/>
    <w:semiHidden/>
    <w:unhideWhenUsed/>
    <w:qFormat/>
    <w:uiPriority w:val="99"/>
    <w:rPr>
      <w:b/>
      <w:bCs w:val="0"/>
    </w:r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标题 1 Char"/>
    <w:basedOn w:val="10"/>
    <w:link w:val="2"/>
    <w:autoRedefine/>
    <w:qFormat/>
    <w:uiPriority w:val="9"/>
    <w:rPr>
      <w:rFonts w:ascii="宋体" w:hAnsi="宋体" w:cstheme="minorBidi"/>
      <w:b/>
      <w:bCs/>
      <w:kern w:val="44"/>
      <w:sz w:val="32"/>
      <w:szCs w:val="32"/>
    </w:rPr>
  </w:style>
  <w:style w:type="character" w:customStyle="1" w:styleId="14">
    <w:name w:val="批注文字 Char"/>
    <w:basedOn w:val="10"/>
    <w:link w:val="3"/>
    <w:autoRedefine/>
    <w:qFormat/>
    <w:uiPriority w:val="99"/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批注主题 Char"/>
    <w:basedOn w:val="14"/>
    <w:link w:val="8"/>
    <w:autoRedefine/>
    <w:semiHidden/>
    <w:qFormat/>
    <w:uiPriority w:val="99"/>
    <w:rPr>
      <w:b/>
      <w:bCs/>
    </w:rPr>
  </w:style>
  <w:style w:type="character" w:customStyle="1" w:styleId="17">
    <w:name w:val="批注框文本 Char"/>
    <w:basedOn w:val="10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眉 Char"/>
    <w:basedOn w:val="10"/>
    <w:link w:val="6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0"/>
    <w:link w:val="5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229</Words>
  <Characters>1310</Characters>
  <Lines>10</Lines>
  <Paragraphs>3</Paragraphs>
  <TotalTime>47</TotalTime>
  <ScaleCrop>false</ScaleCrop>
  <LinksUpToDate>false</LinksUpToDate>
  <CharactersWithSpaces>1536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2022-03-05T14:22:00Z</dcterms:created>
  <dc:creator>gao yingzhao</dc:creator>
  <cp:lastModifiedBy>图书馆</cp:lastModifiedBy>
  <dcterms:modified xsi:type="dcterms:W3CDTF">2024-04-15T02:19:23Z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E79CDCDF77D54F1BAC7A16C76A647EF6</vt:lpwstr>
  </property>
</Properties>
</file>